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2" w:lineRule="auto"/>
        <w:ind w:left="222" w:firstLine="0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52" w:lineRule="auto"/>
        <w:ind w:left="222" w:firstLine="0"/>
        <w:rPr>
          <w:rFonts w:ascii="Calibri" w:cs="Calibri" w:eastAsia="Calibri" w:hAnsi="Calibri"/>
          <w:sz w:val="22"/>
          <w:szCs w:val="22"/>
        </w:rPr>
        <w:sectPr>
          <w:headerReference r:id="rId7" w:type="default"/>
          <w:pgSz w:h="16840" w:w="11920" w:orient="portrait"/>
          <w:pgMar w:bottom="280" w:top="1340" w:left="1480" w:right="156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Planilla Obligatoria de Bibliografía: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" w:lineRule="auto"/>
        <w:ind w:left="222" w:right="-40" w:firstLine="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Puesto a concursar: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Agente Sanitario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497830" cy="53149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535925" y="3514250"/>
                          <a:ext cx="5497830" cy="531495"/>
                          <a:chOff x="3535925" y="3514250"/>
                          <a:chExt cx="5499750" cy="531500"/>
                        </a:xfrm>
                      </wpg:grpSpPr>
                      <wpg:grpSp>
                        <wpg:cNvGrpSpPr/>
                        <wpg:grpSpPr>
                          <a:xfrm>
                            <a:off x="3536885" y="3514253"/>
                            <a:ext cx="5497825" cy="531475"/>
                            <a:chOff x="0" y="0"/>
                            <a:chExt cx="5497825" cy="5314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97825" cy="53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6985" y="6350"/>
                              <a:ext cx="2738755" cy="0"/>
                            </a:xfrm>
                            <a:custGeom>
                              <a:rect b="b" l="l" r="r" t="t"/>
                              <a:pathLst>
                                <a:path extrusionOk="0" h="1" w="2738755">
                                  <a:moveTo>
                                    <a:pt x="0" y="0"/>
                                  </a:moveTo>
                                  <a:lnTo>
                                    <a:pt x="27387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52090" y="6350"/>
                              <a:ext cx="2739390" cy="0"/>
                            </a:xfrm>
                            <a:custGeom>
                              <a:rect b="b" l="l" r="r" t="t"/>
                              <a:pathLst>
                                <a:path extrusionOk="0" h="1" w="2739390">
                                  <a:moveTo>
                                    <a:pt x="0" y="0"/>
                                  </a:moveTo>
                                  <a:lnTo>
                                    <a:pt x="27393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810" y="3810"/>
                              <a:ext cx="0" cy="524510"/>
                            </a:xfrm>
                            <a:custGeom>
                              <a:rect b="b" l="l" r="r" t="t"/>
                              <a:pathLst>
                                <a:path extrusionOk="0" h="524510" w="1">
                                  <a:moveTo>
                                    <a:pt x="0" y="0"/>
                                  </a:moveTo>
                                  <a:lnTo>
                                    <a:pt x="0" y="52387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6985" y="524510"/>
                              <a:ext cx="2738755" cy="0"/>
                            </a:xfrm>
                            <a:custGeom>
                              <a:rect b="b" l="l" r="r" t="t"/>
                              <a:pathLst>
                                <a:path extrusionOk="0" h="1" w="2738755">
                                  <a:moveTo>
                                    <a:pt x="0" y="0"/>
                                  </a:moveTo>
                                  <a:lnTo>
                                    <a:pt x="273875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748915" y="3810"/>
                              <a:ext cx="0" cy="524510"/>
                            </a:xfrm>
                            <a:custGeom>
                              <a:rect b="b" l="l" r="r" t="t"/>
                              <a:pathLst>
                                <a:path extrusionOk="0" h="524510" w="1">
                                  <a:moveTo>
                                    <a:pt x="0" y="0"/>
                                  </a:moveTo>
                                  <a:lnTo>
                                    <a:pt x="0" y="52387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752090" y="524510"/>
                              <a:ext cx="2739390" cy="0"/>
                            </a:xfrm>
                            <a:custGeom>
                              <a:rect b="b" l="l" r="r" t="t"/>
                              <a:pathLst>
                                <a:path extrusionOk="0" h="1" w="2739390">
                                  <a:moveTo>
                                    <a:pt x="0" y="0"/>
                                  </a:moveTo>
                                  <a:lnTo>
                                    <a:pt x="273939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5494020" y="3810"/>
                              <a:ext cx="0" cy="524510"/>
                            </a:xfrm>
                            <a:custGeom>
                              <a:rect b="b" l="l" r="r" t="t"/>
                              <a:pathLst>
                                <a:path extrusionOk="0" h="524510" w="1">
                                  <a:moveTo>
                                    <a:pt x="0" y="0"/>
                                  </a:moveTo>
                                  <a:lnTo>
                                    <a:pt x="0" y="523875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5497830" cy="53149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7830" cy="531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20" w:orient="portrait"/>
          <w:pgMar w:bottom="280" w:top="1340" w:left="1480" w:right="1560" w:header="720" w:footer="720"/>
          <w:cols w:equalWidth="0" w:num="2">
            <w:col w:space="2565" w:w="3157.5"/>
            <w:col w:space="0" w:w="3157.5"/>
          </w:cols>
        </w:sect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Complejidad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8" w:line="1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" w:lineRule="auto"/>
        <w:ind w:left="22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NORMATIVA Y BIBLIOGRAFIA SUGERIDA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9" w:line="22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8.0" w:type="dxa"/>
        <w:jc w:val="left"/>
        <w:tblInd w:w="108.0" w:type="dxa"/>
        <w:tblLayout w:type="fixed"/>
        <w:tblLook w:val="0000"/>
      </w:tblPr>
      <w:tblGrid>
        <w:gridCol w:w="535"/>
        <w:gridCol w:w="8423"/>
        <w:tblGridChange w:id="0">
          <w:tblGrid>
            <w:gridCol w:w="535"/>
            <w:gridCol w:w="8423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B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C">
            <w:pPr>
              <w:spacing w:line="2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Ley 3153 - Ley agente sanitario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D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Resolución 1858. Mapa funcional del agente Sanitario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0F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Manual de agentes sanitarios 2024 (Módulo 1)</w:t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1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Guía de Atención Integrada para las Personas Mayores (pág. 31 al 106)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3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Ley 27.130 Ley Nacional de Prevención del Suicidio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Ley Nacional de Prevención del Suicidio.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6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Ley Nacional De Salud Mental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8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Ley 2302 - protección integral del niño y del adolescente</w:t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A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Convenio Colectivo de Trabajo Salud-Ley 3476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(se podrá tener una copia impresa al momento de rendir el examen)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6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2" w:lineRule="auto"/>
        <w:ind w:left="22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LINKS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" w:line="1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0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58.0" w:type="dxa"/>
        <w:jc w:val="left"/>
        <w:tblInd w:w="108.0" w:type="dxa"/>
        <w:tblLayout w:type="fixed"/>
        <w:tblLook w:val="0000"/>
      </w:tblPr>
      <w:tblGrid>
        <w:gridCol w:w="535"/>
        <w:gridCol w:w="8423"/>
        <w:tblGridChange w:id="0">
          <w:tblGrid>
            <w:gridCol w:w="535"/>
            <w:gridCol w:w="8423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2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3">
            <w:pPr>
              <w:spacing w:line="260" w:lineRule="auto"/>
              <w:ind w:left="100" w:firstLine="0"/>
              <w:rPr>
                <w:rFonts w:ascii="Calibri" w:cs="Calibri" w:eastAsia="Calibri" w:hAnsi="Calibri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https://e-legis-ar.msal.gov.ar/htdocs/legisalud/migration/pdf/32558.pdf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4">
            <w:pPr>
              <w:spacing w:line="260" w:lineRule="auto"/>
              <w:ind w:left="102" w:firstLine="0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5">
            <w:pPr>
              <w:ind w:left="100" w:firstLine="0"/>
              <w:rPr>
                <w:rFonts w:ascii="Calibri" w:cs="Calibri" w:eastAsia="Calibri" w:hAnsi="Calibri"/>
                <w:color w:val="0000ff"/>
                <w:sz w:val="22"/>
                <w:szCs w:val="22"/>
              </w:rPr>
            </w:pPr>
            <w:bookmarkStart w:colFirst="0" w:colLast="0" w:name="_heading=h.gjdgxs" w:id="0"/>
            <w:bookmarkEnd w:id="0"/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https://drive.google.com/file/d/1R9nUvUR_Bkij4aMheKsn6lKOl5KRnQ7e/view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6">
            <w:pPr>
              <w:spacing w:line="260" w:lineRule="auto"/>
              <w:ind w:left="102" w:firstLine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7">
            <w:pPr>
              <w:ind w:left="100" w:firstLine="0"/>
              <w:rPr>
                <w:rFonts w:ascii="Calibri" w:cs="Calibri" w:eastAsia="Calibri" w:hAnsi="Calibri"/>
                <w:color w:val="ff0000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https://drive.google.com/file/d/12LnD7vfYwjAX3B2-ZrqcqRW5b23ATGym/view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8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https://salud.neuquen.gob.ar/wp-content/uploads/2024/10/Guia_-AI_Personas-Mayores_digital-5.pdf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A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https://www.argentina.gob.ar/normativa/nacional/ley-27130-245618/texto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C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https://servicios.infoleg.gob.ar/infolegInternet/anexos/175000-179999/175977/norma.htm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E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https://www.mpdneuquen.gob.ar/images/nin/ley_2302.pdf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0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2"/>
                  <w:szCs w:val="22"/>
                  <w:u w:val="single"/>
                  <w:rtl w:val="0"/>
                </w:rPr>
                <w:t xml:space="preserve">https://boficial.neuquen.gov.ar/Decretos/2024/Ley_3476%20Anexo%20Unico.pdf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2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7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2" w:lineRule="auto"/>
        <w:ind w:left="222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LECTURAS COPLEMENTARIAS: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9" w:line="22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6.0" w:type="dxa"/>
        <w:jc w:val="left"/>
        <w:tblInd w:w="108.0" w:type="dxa"/>
        <w:tblLayout w:type="fixed"/>
        <w:tblLook w:val="0000"/>
      </w:tblPr>
      <w:tblGrid>
        <w:gridCol w:w="535"/>
        <w:gridCol w:w="8111"/>
        <w:tblGridChange w:id="0">
          <w:tblGrid>
            <w:gridCol w:w="535"/>
            <w:gridCol w:w="8111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6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8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A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C">
            <w:pPr>
              <w:spacing w:line="260" w:lineRule="auto"/>
              <w:ind w:left="102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4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12" w:line="276" w:lineRule="auto"/>
        <w:ind w:left="222" w:right="16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examen además de la bibliografía obligatoria, se integrará con los conocimientos requeridos para el ingreso al Sistema de Salud, que son adquiridos con el secundario completo, y que van implícitos en las funciones del puesto a cubrir. Se complementará con aspectos del perfil del puesto a concursar.</w:t>
      </w:r>
    </w:p>
    <w:sectPr>
      <w:type w:val="continuous"/>
      <w:pgSz w:h="16840" w:w="11920" w:orient="portrait"/>
      <w:pgMar w:bottom="280" w:top="1340" w:left="1480" w:right="15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-1225550</wp:posOffset>
          </wp:positionH>
          <wp:positionV relativeFrom="paragraph">
            <wp:posOffset>-457199</wp:posOffset>
          </wp:positionV>
          <wp:extent cx="7839075" cy="9525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3907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B3490"/>
  </w:style>
  <w:style w:type="paragraph" w:styleId="Ttulo1">
    <w:name w:val="heading 1"/>
    <w:basedOn w:val="Normal"/>
    <w:next w:val="Normal"/>
    <w:link w:val="Ttulo1Car"/>
    <w:uiPriority w:val="9"/>
    <w:qFormat w:val="1"/>
    <w:rsid w:val="001B3490"/>
    <w:pPr>
      <w:keepNext w:val="1"/>
      <w:numPr>
        <w:numId w:val="1"/>
      </w:numPr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B3490"/>
    <w:pPr>
      <w:keepNext w:val="1"/>
      <w:numPr>
        <w:ilvl w:val="1"/>
        <w:numId w:val="1"/>
      </w:numPr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B3490"/>
    <w:pPr>
      <w:keepNext w:val="1"/>
      <w:numPr>
        <w:ilvl w:val="2"/>
        <w:numId w:val="1"/>
      </w:numPr>
      <w:spacing w:after="60" w:before="240"/>
      <w:outlineLvl w:val="2"/>
    </w:pPr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ar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Theme="majorHAnsi" w:cstheme="majorBidi" w:eastAsiaTheme="majorEastAsia" w:hAnsiTheme="majorHAnsi"/>
      <w:sz w:val="22"/>
      <w:szCs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1B3490"/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B3490"/>
    <w:rPr>
      <w:rFonts w:asciiTheme="majorHAnsi" w:cstheme="majorBidi" w:eastAsiaTheme="majorEastAsia" w:hAnsiTheme="majorHAnsi"/>
      <w:b w:val="1"/>
      <w:bCs w:val="1"/>
      <w:sz w:val="26"/>
      <w:szCs w:val="26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sz w:val="28"/>
      <w:szCs w:val="28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B3490"/>
    <w:rPr>
      <w:rFonts w:asciiTheme="minorHAns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ar" w:customStyle="1">
    <w:name w:val="Título 6 Car"/>
    <w:basedOn w:val="Fuentedeprrafopredeter"/>
    <w:link w:val="Ttulo6"/>
    <w:rsid w:val="001B3490"/>
    <w:rPr>
      <w:b w:val="1"/>
      <w:bCs w:val="1"/>
      <w:sz w:val="22"/>
      <w:szCs w:val="22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1B3490"/>
    <w:rPr>
      <w:rFonts w:asciiTheme="minorHAnsi" w:cstheme="minorBidi" w:eastAsiaTheme="minorEastAsia" w:hAnsiTheme="minorHAnsi"/>
      <w:sz w:val="24"/>
      <w:szCs w:val="24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1B3490"/>
    <w:rPr>
      <w:rFonts w:asciiTheme="minorHAnsi" w:cstheme="minorBidi" w:eastAsiaTheme="minorEastAsia" w:hAnsiTheme="minorHAnsi"/>
      <w:i w:val="1"/>
      <w:iCs w:val="1"/>
      <w:sz w:val="24"/>
      <w:szCs w:val="24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1B3490"/>
    <w:rPr>
      <w:rFonts w:asciiTheme="majorHAnsi" w:cstheme="majorBidi" w:eastAsiaTheme="majorEastAsia" w:hAnsiTheme="majorHAnsi"/>
      <w:sz w:val="22"/>
      <w:szCs w:val="22"/>
    </w:rPr>
  </w:style>
  <w:style w:type="character" w:styleId="Hipervnculo">
    <w:name w:val="Hyperlink"/>
    <w:basedOn w:val="Fuentedeprrafopredeter"/>
    <w:uiPriority w:val="99"/>
    <w:unhideWhenUsed w:val="1"/>
    <w:rsid w:val="004F1FEB"/>
    <w:rPr>
      <w:color w:val="0000ff" w:themeColor="hyperlink"/>
      <w:u w:val="single"/>
    </w:rPr>
  </w:style>
  <w:style w:type="paragraph" w:styleId="Sinespaciado">
    <w:name w:val="No Spacing"/>
    <w:uiPriority w:val="1"/>
    <w:qFormat w:val="1"/>
    <w:rsid w:val="00384B76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E56A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D11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D11ED"/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3D11E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D11E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D11ED"/>
    <w:rPr>
      <w:b w:val="1"/>
      <w:bCs w:val="1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D11ED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D11ED"/>
    <w:rPr>
      <w:rFonts w:ascii="Segoe UI" w:cs="Segoe UI" w:hAnsi="Segoe UI"/>
      <w:sz w:val="18"/>
      <w:szCs w:val="18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AB4676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26219A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6219A"/>
  </w:style>
  <w:style w:type="paragraph" w:styleId="Piedepgina">
    <w:name w:val="footer"/>
    <w:basedOn w:val="Normal"/>
    <w:link w:val="PiedepginaCar"/>
    <w:uiPriority w:val="99"/>
    <w:unhideWhenUsed w:val="1"/>
    <w:rsid w:val="0026219A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6219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2LnD7vfYwjAX3B2-ZrqcqRW5b23ATGym/view" TargetMode="External"/><Relationship Id="rId10" Type="http://schemas.openxmlformats.org/officeDocument/2006/relationships/hyperlink" Target="https://drive.google.com/file/d/1R9nUvUR_Bkij4aMheKsn6lKOl5KRnQ7e/view" TargetMode="External"/><Relationship Id="rId13" Type="http://schemas.openxmlformats.org/officeDocument/2006/relationships/hyperlink" Target="https://www.argentina.gob.ar/normativa/nacional/ley-27130-245618/texto" TargetMode="External"/><Relationship Id="rId12" Type="http://schemas.openxmlformats.org/officeDocument/2006/relationships/hyperlink" Target="https://salud.neuquen.gob.ar/wp-content/uploads/2024/10/Guia_-AI_Personas-Mayores_digital-5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-legis-ar.msal.gov.ar/htdocs/legisalud/migration/pdf/32558.pdf" TargetMode="External"/><Relationship Id="rId15" Type="http://schemas.openxmlformats.org/officeDocument/2006/relationships/hyperlink" Target="https://www.mpdneuquen.gob.ar/images/nin/ley_2302.pdf" TargetMode="External"/><Relationship Id="rId14" Type="http://schemas.openxmlformats.org/officeDocument/2006/relationships/hyperlink" Target="https://servicios.infoleg.gob.ar/infolegInternet/anexos/175000-179999/175977/norma.htm" TargetMode="External"/><Relationship Id="rId16" Type="http://schemas.openxmlformats.org/officeDocument/2006/relationships/hyperlink" Target="https://boficial.neuquen.gov.ar/Decretos/2024/Ley_3476%20Anexo%20Unico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Ig1HfZ5oaD4+XAVneKwRDOEwQ==">CgMxLjAyCGguZ2pkZ3hzOAByITFkS2poenhWT2daa0tkeVl1VkNuMERyanhoMkZUMWhUdg==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2025-03-06T15:12:00Z</dcterms:created>
  <dc:creator>Usuario</dc:creator>
</cp:coreProperties>
</file>