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1"/>
        <w:gridCol w:w="4253"/>
        <w:tblGridChange w:id="0">
          <w:tblGrid>
            <w:gridCol w:w="4241"/>
            <w:gridCol w:w="4253"/>
          </w:tblGrid>
        </w:tblGridChange>
      </w:tblGrid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Auxiliar de Farmacia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IV</w:t>
            </w:r>
          </w:p>
        </w:tc>
      </w:tr>
    </w:tbl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7965"/>
        <w:tblGridChange w:id="0">
          <w:tblGrid>
            <w:gridCol w:w="529"/>
            <w:gridCol w:w="7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Métodos Anticonceptivos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Manual para el personal de Auxiliar de Servicio Farmacéutico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34" w:hanging="425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Pág. 17 -Funciones del Auxiliar de Servicios Farmacéuticos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34" w:hanging="425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Pág. 18 -Otros integrantes de la Red de Servicios Farmacéuticos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34" w:hanging="4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Pág. 21 / 25 -Gestión de Servicios Farmacéuticos en la Prevención y tratamiento de enfermedades infecciosas y crónicas no transmisibles. Programas Nacionales y Provinciales que garantizan los derechos de los pacientes. Programa CUS- Medicamentos (Ex Remediar)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34" w:hanging="4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Pág. 28 - El rol del auxiliar de servicios farmacéuticos en este proceso se encuentra representado a través del desarrollo de las siguientes actividades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34" w:hanging="425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Pág. 29 - Gestión de Pedidos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34" w:hanging="425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Pág. 29 - Recepción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34" w:hanging="425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Pág. 30/32- Almacenamiento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34" w:hanging="425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Pág. 42 -Eliminación de los Residuos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634" w:hanging="425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Pág. 43 - Trazabilidad de medicamentos y Trazabilidad de productos médicos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Perfil del Puesto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Farmacovigilancia- Programas Especiales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 Ley 3476 -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Manual –Operatoria Medicamentos.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92" w:hanging="132.00000000000003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5-CONSERVACIÓN DE LOS MEDICAMENTOS EN EL CAPS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92" w:hanging="132.00000000000003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6- PRESCRIPCIÓN Y ENTREGA DE MEDICAMENTOS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92" w:hanging="132.00000000000003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7- CONTROL UNIDADES DE MEDICAMENTOS ENTREGADOS: FORMULARIO B1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492" w:hanging="132.00000000000003"/>
              <w:jc w:val="both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8- CONTROL MENSUAL DE STOCK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Temáticas de Género y Ley Micaela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"/>
        <w:gridCol w:w="8017"/>
        <w:tblGridChange w:id="0">
          <w:tblGrid>
            <w:gridCol w:w="477"/>
            <w:gridCol w:w="8017"/>
          </w:tblGrid>
        </w:tblGridChange>
      </w:tblGrid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https://www.argentina.gob.ar/salud/sexual/metodos-anticonceptivos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https://www.santafe.gov.ar/index.php/web/content/download/238343/1256013/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pág.  17-18 , 21-25, 28 -32 y 42-45</w:t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https://www.argentina.gob.ar/anmat/regulados/acerca-del-sistema-nacional-de-farmacovigilancia/programas-especiales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https://drive.google.com/file/d/15zcylTiWOCGHx3cDaLgRE98tXcX1pOFy/view?usp=sharing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4">
            <w:pPr>
              <w:jc w:val="both"/>
              <w:rPr/>
            </w:pPr>
            <w:bookmarkStart w:colFirst="0" w:colLast="0" w:name="_heading=h.30j0zll" w:id="1"/>
            <w:bookmarkEnd w:id="1"/>
            <w:hyperlink r:id="rId14">
              <w:r w:rsidDel="00000000" w:rsidR="00000000" w:rsidRPr="00000000">
                <w:rPr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color w:val="0000ff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-451483</wp:posOffset>
          </wp:positionV>
          <wp:extent cx="7831135" cy="952788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4E25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link w:val="Ttulo3Car"/>
    <w:uiPriority w:val="9"/>
    <w:semiHidden w:val="1"/>
    <w:unhideWhenUsed w:val="1"/>
    <w:qFormat w:val="1"/>
    <w:rsid w:val="00431DDB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tulo3Car" w:customStyle="1">
    <w:name w:val="Título 3 Car"/>
    <w:basedOn w:val="Fuentedeprrafopredeter"/>
    <w:link w:val="Ttulo3"/>
    <w:uiPriority w:val="9"/>
    <w:rsid w:val="00431DDB"/>
    <w:rPr>
      <w:rFonts w:ascii="Times New Roman" w:cs="Times New Roman" w:eastAsia="Times New Roman" w:hAnsi="Times New Roman"/>
      <w:b w:val="1"/>
      <w:bCs w:val="1"/>
      <w:sz w:val="27"/>
      <w:szCs w:val="27"/>
      <w:lang w:eastAsia="es-AR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D2B32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24E1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 w:val="1"/>
    <w:rsid w:val="00622FAD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9457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9457B"/>
  </w:style>
  <w:style w:type="paragraph" w:styleId="Piedepgina">
    <w:name w:val="footer"/>
    <w:basedOn w:val="Normal"/>
    <w:link w:val="PiedepginaCar"/>
    <w:uiPriority w:val="99"/>
    <w:unhideWhenUsed w:val="1"/>
    <w:rsid w:val="00E9457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9457B"/>
  </w:style>
  <w:style w:type="paragraph" w:styleId="Default" w:customStyle="1">
    <w:name w:val="Default"/>
    <w:rsid w:val="005D55C4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eastAsia="es-ES" w:val="es-419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5zcylTiWOCGHx3cDaLgRE98tXcX1pOFy/view?usp=sharing" TargetMode="External"/><Relationship Id="rId10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www.youtube.com/watch?v=bAxfkAkhzaA" TargetMode="External"/><Relationship Id="rId12" Type="http://schemas.openxmlformats.org/officeDocument/2006/relationships/hyperlink" Target="https://www.youtube.com/watch?v=Ho0dQUBGRh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gentina.gob.ar/anmat/regulados/acerca-del-sistema-nacional-de-farmacovigilancia/programas-especiales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youtube.com/watch?v=Ek7OUJ--iP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rgentina.gob.ar/salud/sexual/metodos-anticonceptivos" TargetMode="External"/><Relationship Id="rId8" Type="http://schemas.openxmlformats.org/officeDocument/2006/relationships/hyperlink" Target="https://www.santafe.gov.ar/index.php/web/content/download/238343/1256013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GvzktUE+3Fjfl8xy652pKKfc2g==">CgMxLjAyCGguZ2pkZ3hzMgloLjMwajB6bGw4AHIhMTJGRlJIaDVfakxEaDYyMWk3cVFXblM1YUFlNlJDanJ5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2025-03-07T14:16:00Z</dcterms:created>
  <dc:creator>Alvarez Silvia</dc:creator>
</cp:coreProperties>
</file>