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Técnico Administrativo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COMPLEJIDAD IV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BIBLIOGRAFIA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trabajo- Ley 3476 </w:t>
            </w:r>
            <w:r w:rsidDel="00000000" w:rsidR="00000000" w:rsidRPr="00000000">
              <w:rPr>
                <w:b w:val="1"/>
                <w:color w:val="333333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Sistema de Administración Financiera Provincial- Concepto- porque Surge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Safipro-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 de administración financiera gubernamental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 de sistema de contrataciones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Concepto de  ADQUISICIÓN DE BIENES Y CONTRATACIÓN DE SERVICIOS (4.6)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Confección de Notas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Qué es GDE- OBJETIVOS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REGLAMENTO DE USO DE GDE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line="276" w:lineRule="auto"/>
              <w:jc w:val="both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Ley de Procedimiento Administrativo 1284, Capítulos I y II - </w:t>
            </w:r>
            <w:r w:rsidDel="00000000" w:rsidR="00000000" w:rsidRPr="00000000">
              <w:rPr>
                <w:b w:val="1"/>
                <w:color w:val="333333"/>
                <w:rtl w:val="0"/>
              </w:rPr>
              <w:t xml:space="preserve">– 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Protocolo para la Prevención, Intervención y Protección en Situaciones de Violencia Laboral en el Ámbito del Poder Ejecutivo de la Provincia del Neuquén.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"/>
        <w:gridCol w:w="8199"/>
        <w:tblGridChange w:id="0">
          <w:tblGrid>
            <w:gridCol w:w="295"/>
            <w:gridCol w:w="81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https://www.contadurianeuquen.gob.ar/safipro/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https://www.contadurianeuquen.gob.ar/wp-content/uploads/2015/01/Manual_de_Contrataci%C3%B3n_de_Bienes_y_Servicios.pdf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https://www.unc.edu.ar/sites/default/files/Instructivo-notas.pdf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https://gde.neuquen.gov.ar/que-es-gestion-documental-electronica-neuquen/#:~:text=Es%20una%20plataforma%20inform%C3%A1tica%20que,de%20la%20Provincia%20del%20Neuqu%C3%A9n</w:t>
              </w:r>
            </w:hyperlink>
            <w:r w:rsidDel="00000000" w:rsidR="00000000" w:rsidRPr="00000000">
              <w:rPr>
                <w:rtl w:val="0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line="276" w:lineRule="auto"/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https://gde.neuquen.gov.ar/wp-content/uploads/2024/11/Decreto-21652023-REGLAMENTO-DE-USO-DE-GDE.pdf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76" w:lineRule="auto"/>
              <w:ind w:right="100"/>
              <w:rPr>
                <w:color w:val="1155cc"/>
                <w:u w:val="single"/>
              </w:rPr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https://www.contadurianeuquen.gob.ar/ley-no-1284-1981-ley-de-procedimiento-administrativo/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-320"/>
              <w:rPr>
                <w:color w:val="0000ff"/>
                <w:u w:val="single"/>
              </w:rPr>
            </w:pPr>
            <w:hyperlink r:id="rId14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https://infoleg.neuquen.gob.ar/Decretos/2022/d_2190_2022%20Anexo.pdf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01f1e"/>
          <w:sz w:val="23"/>
          <w:szCs w:val="23"/>
          <w:highlight w:val="white"/>
          <w:u w:val="single"/>
          <w:rtl w:val="0"/>
        </w:rPr>
        <w:t xml:space="preserve">IMPORTANTE:</w:t>
      </w:r>
      <w:r w:rsidDel="00000000" w:rsidR="00000000" w:rsidRPr="00000000">
        <w:rPr>
          <w:rFonts w:ascii="Quattrocento Sans" w:cs="Quattrocento Sans" w:eastAsia="Quattrocento Sans" w:hAnsi="Quattrocento Sans"/>
          <w:color w:val="201f1e"/>
          <w:sz w:val="23"/>
          <w:szCs w:val="23"/>
          <w:highlight w:val="white"/>
          <w:rtl w:val="0"/>
        </w:rPr>
        <w:t xml:space="preserve"> El examen además de la bibliografía obligatoria, se integrará con los conocimientos requeridos para el ingreso al Sistema de Salud, que son adquiridos con el secundario completo, y que van implícitos en las funciones del puesto a cubrir, y se complementará con aspectos del perfil del puesto a concursar.</w:t>
      </w: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1983/2023 - 40 AÑOS DE DEMO CRACIA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2F6DF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de.neuquen.gov.ar/que-es-gestion-documental-electronica-neuquen/#:~:text=Es%20una%20plataforma%20inform%C3%A1tica%20que,de%20la%20Provincia%20del%20Neuqu%C3%A9n" TargetMode="External"/><Relationship Id="rId10" Type="http://schemas.openxmlformats.org/officeDocument/2006/relationships/hyperlink" Target="https://www.unc.edu.ar/sites/default/files/Instructivo-notas.pdf" TargetMode="External"/><Relationship Id="rId13" Type="http://schemas.openxmlformats.org/officeDocument/2006/relationships/hyperlink" Target="https://www.contadurianeuquen.gob.ar/ley-no-1284-1981-ley-de-procedimiento-administrativo/" TargetMode="External"/><Relationship Id="rId12" Type="http://schemas.openxmlformats.org/officeDocument/2006/relationships/hyperlink" Target="https://gde.neuquen.gov.ar/wp-content/uploads/2024/11/Decreto-21652023-REGLAMENTO-DE-USO-DE-GDE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tadurianeuquen.gob.ar/wp-content/uploads/2015/01/Manual_de_Contrataci%C3%B3n_de_Bienes_y_Servicios.pdf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infoleg.neuquen.gob.ar/Decretos/2022/d_2190_2022%20Anexo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ficial.neuquen.gov.ar/Decretos/2024/Ley_3476%20Anexo%20Unico.pdf" TargetMode="External"/><Relationship Id="rId8" Type="http://schemas.openxmlformats.org/officeDocument/2006/relationships/hyperlink" Target="https://www.contadurianeuquen.gob.ar/safipr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qfQ/Hf3daMVM+gSTllqEIcnPA==">CgMxLjAyCGguZ2pkZ3hzOAByITEzS3EwSS11QnNQZkpIZXRjS1BvNGdBZlMyOGJCWGdDdQ==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2025-03-06T13:39:00Z</dcterms:created>
  <dc:creator>Silvia Alvarez</dc:creator>
</cp:coreProperties>
</file>